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797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>di Firenze           Dipartimento di Formazione, Lingue, Intercultura, Letterature e Psicologia</w:t>
      </w:r>
    </w:p>
    <w:p>
      <w:pPr>
        <w:pStyle w:val="Normale"/>
        <w:outlineLvl w:val="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  <w:rtl w:val="0"/>
          <w:lang w:val="it-IT"/>
        </w:rPr>
        <w:t xml:space="preserve">Corso di Traduzione in Lingua inglese          </w:t>
        <w:tab/>
        <w:tab/>
        <w:tab/>
        <w:tab/>
        <w:tab/>
        <w:tab/>
        <w:t xml:space="preserve">        John Gilbert </w:t>
      </w:r>
    </w:p>
    <w:p>
      <w:pPr>
        <w:pStyle w:val="Normale"/>
        <w:jc w:val="center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Instructions</w:t>
      </w:r>
      <w:r>
        <w:rPr>
          <w:rFonts w:ascii="Verdana"/>
          <w:sz w:val="22"/>
          <w:szCs w:val="22"/>
          <w:rtl w:val="0"/>
          <w:lang w:val="it-IT"/>
        </w:rPr>
        <w:t xml:space="preserve">:  Translate the following text into appropriate English, including the title. </w:t>
      </w:r>
    </w:p>
    <w:p>
      <w:pPr>
        <w:pStyle w:val="Normale"/>
        <w:jc w:val="center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it-IT"/>
        </w:rPr>
        <w:t xml:space="preserve">Please skip lines and leave ample margins. </w:t>
      </w:r>
    </w:p>
    <w:p>
      <w:pPr>
        <w:pStyle w:val="Normale"/>
        <w:jc w:val="center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jc w:val="center"/>
        <w:rPr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adatto da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A Reference Grammar. Grammatica inglese della comunicazione,</w:t>
      </w:r>
    </w:p>
    <w:p>
      <w:pPr>
        <w:pStyle w:val="Normale"/>
        <w:jc w:val="center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18"/>
          <w:szCs w:val="18"/>
          <w:rtl w:val="0"/>
          <w:lang w:val="it-IT"/>
        </w:rPr>
        <w:t xml:space="preserve">di </w:t>
      </w:r>
      <w:hyperlink r:id="rId4" w:history="1">
        <w:r>
          <w:rPr>
            <w:rStyle w:val="Hyperlink.0"/>
            <w:rFonts w:ascii="Verdana"/>
            <w:sz w:val="18"/>
            <w:szCs w:val="18"/>
            <w:rtl w:val="0"/>
            <w:lang w:val="it-IT"/>
          </w:rPr>
          <w:t>G. De Devitiis</w:t>
        </w:r>
      </w:hyperlink>
      <w:r>
        <w:rPr>
          <w:rFonts w:ascii="Verdana"/>
          <w:sz w:val="18"/>
          <w:szCs w:val="18"/>
          <w:rtl w:val="0"/>
          <w:lang w:val="it-IT"/>
        </w:rPr>
        <w:t xml:space="preserve">, </w:t>
      </w:r>
      <w:hyperlink r:id="rId5" w:history="1">
        <w:r>
          <w:rPr>
            <w:rStyle w:val="Hyperlink.0"/>
            <w:rFonts w:ascii="Verdana"/>
            <w:sz w:val="18"/>
            <w:szCs w:val="18"/>
            <w:rtl w:val="0"/>
            <w:lang w:val="it-IT"/>
          </w:rPr>
          <w:t>L. Mariani</w:t>
        </w:r>
      </w:hyperlink>
      <w:r>
        <w:rPr>
          <w:rFonts w:ascii="Verdana"/>
          <w:sz w:val="18"/>
          <w:szCs w:val="18"/>
          <w:rtl w:val="0"/>
          <w:lang w:val="it-IT"/>
        </w:rPr>
        <w:t xml:space="preserve">, </w:t>
      </w:r>
      <w:hyperlink r:id="rId6" w:history="1">
        <w:r>
          <w:rPr>
            <w:rStyle w:val="Hyperlink.0"/>
            <w:rFonts w:ascii="Verdana"/>
            <w:sz w:val="18"/>
            <w:szCs w:val="18"/>
            <w:rtl w:val="0"/>
            <w:lang w:val="it-IT"/>
          </w:rPr>
          <w:t>K. O'Malley</w:t>
        </w:r>
      </w:hyperlink>
      <w:r>
        <w:rPr>
          <w:rFonts w:ascii="Verdana"/>
          <w:sz w:val="18"/>
          <w:szCs w:val="18"/>
          <w:rtl w:val="0"/>
          <w:lang w:val="it-IT"/>
        </w:rPr>
        <w:t xml:space="preserve"> (Zanichelli: Bologna, 1993, p. 68-69).</w:t>
      </w:r>
    </w:p>
    <w:p>
      <w:pPr>
        <w:pStyle w:val="Normale"/>
        <w:jc w:val="center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jc w:val="center"/>
        <w:rPr>
          <w:rFonts w:ascii="Verdana" w:cs="Verdana" w:hAnsi="Verdana" w:eastAsia="Verdana"/>
          <w:u w:val="single"/>
        </w:rPr>
      </w:pPr>
      <w:r>
        <w:rPr>
          <w:rFonts w:ascii="Verdana"/>
          <w:sz w:val="24"/>
          <w:szCs w:val="24"/>
          <w:u w:val="single"/>
          <w:rtl w:val="0"/>
          <w:lang w:val="it-IT"/>
        </w:rPr>
        <w:t>Le proposizioni relative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Uso delle proposizioni relative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1.</w:t>
        <w:tab/>
        <w:t xml:space="preserve">Invece di utilizzare un semplice aggettivo per descrivere un sostantivo possiamo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adoperare un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 xml:space="preserve">intera proposizione. Questo tipo di proposizione, che descrive o fornisce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comunque ulteriori informazioni, si chiama proposizione relativa.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2. </w:t>
        <w:tab/>
        <w:t xml:space="preserve">La funzione di una proposizione relativa non 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è </w:t>
      </w:r>
      <w:r>
        <w:rPr>
          <w:rFonts w:ascii="Verdana"/>
          <w:sz w:val="22"/>
          <w:szCs w:val="22"/>
          <w:rtl w:val="0"/>
          <w:lang w:val="it-IT"/>
        </w:rPr>
        <w:t xml:space="preserve">sempre collegabile alla funzione di un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aggettivo. Infatti una proposizione relativa pu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ò </w:t>
      </w:r>
      <w:r>
        <w:rPr>
          <w:rFonts w:ascii="Verdana"/>
          <w:sz w:val="22"/>
          <w:szCs w:val="22"/>
          <w:rtl w:val="0"/>
          <w:lang w:val="it-IT"/>
        </w:rPr>
        <w:t xml:space="preserve">far riferimento a un particolare sostantivo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The car, which was dark red, stopped.) </w:t>
      </w:r>
      <w:r>
        <w:rPr>
          <w:rFonts w:ascii="Verdana"/>
          <w:sz w:val="22"/>
          <w:szCs w:val="22"/>
          <w:rtl w:val="0"/>
          <w:lang w:val="it-IT"/>
        </w:rPr>
        <w:t>ma pu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ò </w:t>
      </w:r>
      <w:r>
        <w:rPr>
          <w:rFonts w:ascii="Verdana"/>
          <w:sz w:val="22"/>
          <w:szCs w:val="22"/>
          <w:rtl w:val="0"/>
          <w:lang w:val="it-IT"/>
        </w:rPr>
        <w:t>anche riferirsi a un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 xml:space="preserve">intera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proposizione 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It</w:t>
      </w:r>
      <w:r>
        <w:rPr>
          <w:rFonts w:hAnsi="Verdana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s raining, which is a pity.).</w:t>
      </w:r>
      <w:r>
        <w:rPr>
          <w:rFonts w:ascii="Verdana"/>
          <w:sz w:val="22"/>
          <w:szCs w:val="22"/>
          <w:rtl w:val="0"/>
          <w:lang w:val="it-IT"/>
        </w:rPr>
        <w:t xml:space="preserve"> </w:t>
      </w:r>
    </w:p>
    <w:p>
      <w:pPr>
        <w:pStyle w:val="Normale"/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Incidentali e non incidentali</w:t>
      </w:r>
    </w:p>
    <w:p>
      <w:pPr>
        <w:pStyle w:val="Normale"/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1.</w:t>
        <w:tab/>
        <w:t xml:space="preserve">Ci sono due tipi di proposizioni relative. Un primo tipo fornisce semplicemente ulteriori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informazioni su qualcuno o qualcosa 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The diet recommends oranges, which contain 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vitamin C.). </w:t>
      </w:r>
      <w:r>
        <w:rPr>
          <w:rFonts w:ascii="Verdana"/>
          <w:sz w:val="22"/>
          <w:szCs w:val="22"/>
          <w:rtl w:val="0"/>
          <w:lang w:val="it-IT"/>
        </w:rPr>
        <w:t xml:space="preserve">Queste informazioni non costituiscono il fulcro del periodo: la proposizione che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le contiene pu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ò </w:t>
      </w:r>
      <w:r>
        <w:rPr>
          <w:rFonts w:ascii="Verdana"/>
          <w:sz w:val="22"/>
          <w:szCs w:val="22"/>
          <w:rtl w:val="0"/>
          <w:lang w:val="it-IT"/>
        </w:rPr>
        <w:t xml:space="preserve">pertanto essere omessa senza nulla togliere al significato del periodo stesso.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Questo tipo di frase relativa viene chiamata incidentale. </w:t>
      </w:r>
    </w:p>
    <w:p>
      <w:pPr>
        <w:pStyle w:val="Normale"/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2.</w:t>
        <w:tab/>
        <w:t>Le proposizioni relative non incidentali invece definiscono e limitano ci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ò </w:t>
      </w:r>
      <w:r>
        <w:rPr>
          <w:rFonts w:ascii="Verdana"/>
          <w:sz w:val="22"/>
          <w:szCs w:val="22"/>
          <w:rtl w:val="0"/>
          <w:lang w:val="it-IT"/>
        </w:rPr>
        <w:t xml:space="preserve">a cui si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riferiscono 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Bicycles which/that don</w:t>
      </w:r>
      <w:r>
        <w:rPr>
          <w:rFonts w:hAnsi="Verdana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t have lights are dangerous.).</w:t>
      </w:r>
      <w:r>
        <w:rPr>
          <w:rFonts w:ascii="Verdana"/>
          <w:sz w:val="22"/>
          <w:szCs w:val="22"/>
          <w:rtl w:val="0"/>
          <w:lang w:val="it-IT"/>
        </w:rPr>
        <w:t xml:space="preserve"> Sono pertanto una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parte essenziale della frase e non possono essere omesse senza alterarne il significato. Le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proposizioni relative non incidentali fanno s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ì </w:t>
      </w:r>
      <w:r>
        <w:rPr>
          <w:rFonts w:ascii="Verdana"/>
          <w:sz w:val="22"/>
          <w:szCs w:val="22"/>
          <w:rtl w:val="0"/>
          <w:lang w:val="it-IT"/>
        </w:rPr>
        <w:t xml:space="preserve">che ci si riferisca solo a una persona o cosa o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gruppo di persone o cose particolari.</w:t>
      </w:r>
    </w:p>
    <w:p>
      <w:pPr>
        <w:pStyle w:val="Normale"/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La punteggiatura nelle proposizioni relative</w:t>
      </w:r>
    </w:p>
    <w:p>
      <w:pPr>
        <w:pStyle w:val="Normale"/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1.    Il carattere non essenziale della proposizione incidentale 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è </w:t>
      </w:r>
      <w:r>
        <w:rPr>
          <w:rFonts w:ascii="Verdana"/>
          <w:sz w:val="22"/>
          <w:szCs w:val="22"/>
          <w:rtl w:val="0"/>
          <w:lang w:val="it-IT"/>
        </w:rPr>
        <w:t xml:space="preserve">segnalato dalle virgole che la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separano dal resto della frase 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The girl, who was reading a newspaper, looked up.)</w:t>
      </w:r>
      <w:r>
        <w:rPr>
          <w:rFonts w:ascii="Verdana"/>
          <w:sz w:val="22"/>
          <w:szCs w:val="22"/>
          <w:rtl w:val="0"/>
          <w:lang w:val="it-IT"/>
        </w:rPr>
        <w:t>.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2.    La proposizione non incidentale, essendo parte essenziale della frase, non 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è </w:t>
      </w:r>
      <w:r>
        <w:rPr>
          <w:rFonts w:ascii="Verdana"/>
          <w:sz w:val="22"/>
          <w:szCs w:val="22"/>
          <w:rtl w:val="0"/>
          <w:lang w:val="it-IT"/>
        </w:rPr>
        <w:t xml:space="preserve">separata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</w:pPr>
      <w:r>
        <w:rPr>
          <w:rFonts w:ascii="Verdana"/>
          <w:sz w:val="22"/>
          <w:szCs w:val="22"/>
          <w:rtl w:val="0"/>
          <w:lang w:val="it-IT"/>
        </w:rPr>
        <w:t xml:space="preserve">invece dalla virgola 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The girl who/that was reading a newspaper looked up.).</w:t>
      </w:r>
    </w:p>
    <w:sectPr>
      <w:headerReference w:type="default" r:id="rId7"/>
      <w:footerReference w:type="default" r:id="rId8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amazon.it/s/ref=dp_byline_sr_book_1?ie=utf8&amp;field-author=guido+de+devitiis&amp;search-alias=stripbooks" TargetMode="External"/><Relationship Id="rId5" Type="http://schemas.openxmlformats.org/officeDocument/2006/relationships/hyperlink" Target="http://www.amazon.it/s/ref=dp_byline_sr_book_2?ie=utf8&amp;field-author=luciano+mariani&amp;search-alias=stripbooks" TargetMode="External"/><Relationship Id="rId6" Type="http://schemas.openxmlformats.org/officeDocument/2006/relationships/hyperlink" Target="http://www.amazon.it/s/ref=dp_byline_sr_book_3?ie=utf8&amp;field-author=kiaran+o%252527malley&amp;search-alias=stripbook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